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ind/>
        <w:jc w:val="center"/>
        <w:rPr>
          <w:sz w:val="28"/>
        </w:rPr>
      </w:pPr>
    </w:p>
    <w:p w14:paraId="02000000">
      <w:pPr>
        <w:ind w:firstLine="0"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>
      <w:pPr>
        <w:ind w:firstLine="0" w:left="4253"/>
        <w:jc w:val="both"/>
        <w:rPr>
          <w:sz w:val="28"/>
        </w:rPr>
      </w:pPr>
    </w:p>
    <w:p w14:paraId="04000000">
      <w:pPr>
        <w:ind w:firstLine="0" w:left="4253"/>
        <w:jc w:val="center"/>
        <w:rPr>
          <w:sz w:val="28"/>
        </w:rPr>
      </w:pPr>
      <w:r>
        <w:rPr>
          <w:sz w:val="28"/>
        </w:rPr>
        <w:t xml:space="preserve">Начальник Департамента </w:t>
      </w:r>
      <w:r>
        <w:rPr>
          <w:sz w:val="28"/>
        </w:rPr>
        <w:br/>
      </w:r>
      <w:r>
        <w:rPr>
          <w:sz w:val="28"/>
        </w:rPr>
        <w:t>Росгидромета по СЗФО</w:t>
      </w:r>
    </w:p>
    <w:p w14:paraId="05000000">
      <w:pPr>
        <w:ind w:firstLine="0" w:left="4253"/>
        <w:jc w:val="center"/>
        <w:rPr>
          <w:sz w:val="28"/>
        </w:rPr>
      </w:pPr>
    </w:p>
    <w:p w14:paraId="06000000">
      <w:pPr>
        <w:ind w:firstLine="0" w:left="4253"/>
        <w:jc w:val="center"/>
        <w:rPr>
          <w:sz w:val="28"/>
        </w:rPr>
      </w:pPr>
      <w:r>
        <w:rPr>
          <w:sz w:val="28"/>
        </w:rPr>
        <w:t xml:space="preserve">       ___________</w:t>
      </w:r>
      <w:r>
        <w:rPr>
          <w:sz w:val="28"/>
        </w:rPr>
        <w:t>О.В.</w:t>
      </w:r>
      <w:r>
        <w:rPr>
          <w:sz w:val="28"/>
        </w:rPr>
        <w:t xml:space="preserve"> </w:t>
      </w:r>
      <w:r>
        <w:rPr>
          <w:sz w:val="28"/>
        </w:rPr>
        <w:t>Подольская</w:t>
      </w:r>
    </w:p>
    <w:p w14:paraId="07000000">
      <w:pPr>
        <w:ind w:firstLine="0" w:left="4253"/>
        <w:jc w:val="both"/>
        <w:rPr>
          <w:sz w:val="28"/>
        </w:rPr>
      </w:pPr>
    </w:p>
    <w:p w14:paraId="08000000">
      <w:pPr>
        <w:ind w:firstLine="0" w:left="4253"/>
        <w:jc w:val="center"/>
        <w:rPr>
          <w:sz w:val="28"/>
        </w:rPr>
      </w:pPr>
      <w:r>
        <w:rPr>
          <w:sz w:val="28"/>
        </w:rPr>
        <w:t xml:space="preserve">        «__</w:t>
      </w:r>
      <w:r>
        <w:rPr>
          <w:sz w:val="28"/>
        </w:rPr>
        <w:t>_</w:t>
      </w:r>
      <w:r>
        <w:rPr>
          <w:sz w:val="28"/>
        </w:rPr>
        <w:t>»</w:t>
      </w:r>
      <w:r>
        <w:rPr>
          <w:sz w:val="28"/>
        </w:rPr>
        <w:t xml:space="preserve"> октября 201</w:t>
      </w:r>
      <w:r>
        <w:rPr>
          <w:sz w:val="28"/>
        </w:rPr>
        <w:t>8</w:t>
      </w:r>
      <w:r>
        <w:rPr>
          <w:sz w:val="28"/>
        </w:rPr>
        <w:t xml:space="preserve"> года</w:t>
      </w:r>
    </w:p>
    <w:p w14:paraId="09000000">
      <w:pPr>
        <w:ind/>
        <w:jc w:val="center"/>
        <w:rPr>
          <w:sz w:val="28"/>
        </w:rPr>
      </w:pPr>
    </w:p>
    <w:p w14:paraId="0A000000">
      <w:pPr>
        <w:ind/>
        <w:jc w:val="center"/>
        <w:rPr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Департамент</w:t>
      </w:r>
      <w:r>
        <w:rPr>
          <w:sz w:val="28"/>
        </w:rPr>
        <w:t>ом</w:t>
      </w:r>
      <w:r>
        <w:rPr>
          <w:sz w:val="28"/>
        </w:rPr>
        <w:t xml:space="preserve"> Федеральной службы</w:t>
      </w:r>
      <w:bookmarkStart w:id="1" w:name="_GoBack"/>
      <w:bookmarkEnd w:id="1"/>
      <w:r>
        <w:rPr>
          <w:sz w:val="28"/>
        </w:rPr>
        <w:t xml:space="preserve"> по гидрометеорологии и мониторингу окружающей среды по Север</w:t>
      </w:r>
      <w:r>
        <w:rPr>
          <w:sz w:val="28"/>
        </w:rPr>
        <w:t>о-Западному федераль</w:t>
      </w:r>
      <w:r>
        <w:rPr>
          <w:rStyle w:val="Style_1_ch"/>
          <w:sz w:val="28"/>
        </w:rPr>
        <w:t xml:space="preserve">ному </w:t>
      </w:r>
      <w:r>
        <w:rPr>
          <w:rStyle w:val="Style_1_ch"/>
          <w:sz w:val="28"/>
        </w:rPr>
        <w:t xml:space="preserve">округу </w:t>
      </w:r>
      <w:r>
        <w:rPr>
          <w:rStyle w:val="Style_1_ch"/>
          <w:sz w:val="28"/>
        </w:rPr>
        <w:t xml:space="preserve">во исполнение Приказа Росгидромета от 02.03.2018 №79 </w:t>
      </w:r>
      <w:r>
        <w:rPr>
          <w:rStyle w:val="Style_1_ch"/>
          <w:sz w:val="28"/>
        </w:rPr>
        <w:t xml:space="preserve">"Об утверждении Программы профилактических мероприятий, направленных на предупреждение нарушений обязательных требований, соблюдение которых оценивается Росгидрометом при проведении мероприятий по контролю (надзору)", а также Плана-графика профилактических мероприятий Росгидромета, направленных на предупреждение нарушений обязательных требований в 2017 году, утвержденного </w:t>
      </w:r>
      <w:r>
        <w:rPr>
          <w:rStyle w:val="Style_1_ch"/>
          <w:sz w:val="28"/>
        </w:rPr>
        <w:t xml:space="preserve"> Приказом </w:t>
      </w:r>
      <w:r>
        <w:rPr>
          <w:rStyle w:val="Style_1_ch"/>
          <w:sz w:val="28"/>
        </w:rPr>
        <w:t xml:space="preserve">Росгидромета </w:t>
      </w:r>
      <w:r>
        <w:rPr>
          <w:rStyle w:val="Style_1_ch"/>
          <w:sz w:val="28"/>
        </w:rPr>
        <w:t>от 08.02.2017</w:t>
      </w:r>
      <w:r>
        <w:rPr>
          <w:rStyle w:val="Style_1_ch"/>
          <w:sz w:val="28"/>
        </w:rPr>
        <w:t xml:space="preserve"> №39, </w:t>
      </w:r>
      <w:r>
        <w:rPr>
          <w:rStyle w:val="Style_1_ch"/>
          <w:sz w:val="28"/>
        </w:rPr>
        <w:t xml:space="preserve"> 18.10.201</w:t>
      </w:r>
      <w:r>
        <w:rPr>
          <w:rStyle w:val="Style_1_ch"/>
          <w:sz w:val="28"/>
        </w:rPr>
        <w:t>8</w:t>
      </w:r>
      <w:r>
        <w:rPr>
          <w:rStyle w:val="Style_1_ch"/>
          <w:sz w:val="28"/>
        </w:rPr>
        <w:t xml:space="preserve"> </w:t>
      </w:r>
      <w:r>
        <w:rPr>
          <w:rStyle w:val="Style_1_ch"/>
          <w:b w:val="0"/>
          <w:sz w:val="28"/>
        </w:rPr>
        <w:t>было проведено публичное мероприятие</w:t>
      </w:r>
      <w:r>
        <w:rPr>
          <w:rStyle w:val="Style_1_ch"/>
          <w:b w:val="0"/>
          <w:sz w:val="28"/>
        </w:rPr>
        <w:t xml:space="preserve"> по</w:t>
      </w:r>
      <w:r>
        <w:rPr>
          <w:rStyle w:val="Style_1_ch"/>
          <w:b w:val="0"/>
          <w:sz w:val="28"/>
        </w:rPr>
        <w:t xml:space="preserve"> вопросам</w:t>
      </w:r>
      <w:r>
        <w:rPr>
          <w:rStyle w:val="Style_1_ch"/>
          <w:b w:val="0"/>
          <w:sz w:val="28"/>
        </w:rPr>
        <w:t xml:space="preserve"> правоприменительной практики</w:t>
      </w:r>
      <w:r>
        <w:rPr>
          <w:rStyle w:val="Style_1_ch"/>
          <w:b w:val="0"/>
          <w:sz w:val="28"/>
        </w:rPr>
        <w:t xml:space="preserve"> осуществления контрольно-надзорной деятельности Департамента Росгидромета по СЗФО, с обсуждением проблемных </w:t>
      </w:r>
      <w:r>
        <w:rPr>
          <w:rStyle w:val="Style_1_ch"/>
          <w:b w:val="0"/>
          <w:sz w:val="28"/>
        </w:rPr>
        <w:t>вопросов</w:t>
      </w:r>
      <w:r>
        <w:rPr>
          <w:rStyle w:val="Style_1_ch"/>
          <w:b w:val="0"/>
          <w:sz w:val="28"/>
        </w:rPr>
        <w:t>,</w:t>
      </w:r>
      <w:r>
        <w:rPr>
          <w:rStyle w:val="Style_1_ch"/>
          <w:b w:val="0"/>
          <w:sz w:val="28"/>
        </w:rPr>
        <w:t xml:space="preserve"> изменения законодательства</w:t>
      </w:r>
      <w:r>
        <w:rPr>
          <w:rStyle w:val="Style_1_ch"/>
          <w:b w:val="0"/>
          <w:sz w:val="28"/>
        </w:rPr>
        <w:t xml:space="preserve"> </w:t>
      </w:r>
      <w:r>
        <w:rPr>
          <w:rStyle w:val="Style_1_ch"/>
          <w:b w:val="0"/>
          <w:sz w:val="28"/>
        </w:rPr>
        <w:t>в контрольно-надзорной деятельности</w:t>
      </w:r>
      <w:r>
        <w:rPr>
          <w:rStyle w:val="Style_1_ch"/>
          <w:b w:val="0"/>
          <w:sz w:val="28"/>
        </w:rPr>
        <w:t>.</w:t>
      </w:r>
    </w:p>
    <w:p w14:paraId="0D000000">
      <w:pPr>
        <w:spacing w:line="276" w:lineRule="auto"/>
        <w:ind w:firstLine="708" w:left="0"/>
        <w:jc w:val="both"/>
        <w:rPr>
          <w:sz w:val="28"/>
        </w:rPr>
      </w:pPr>
      <w:r>
        <w:rPr>
          <w:b w:val="0"/>
          <w:sz w:val="28"/>
          <w:highlight w:val="white"/>
        </w:rPr>
        <w:t>В рамках слушаний, в подготовленном докладе</w:t>
      </w:r>
      <w:r>
        <w:rPr>
          <w:b w:val="0"/>
          <w:sz w:val="28"/>
          <w:highlight w:val="white"/>
        </w:rPr>
        <w:t xml:space="preserve"> были освещены следующие вопросы, касающиеся:</w:t>
      </w:r>
    </w:p>
    <w:p w14:paraId="0E000000">
      <w:pPr>
        <w:numPr>
          <w:ilvl w:val="0"/>
          <w:numId w:val="1"/>
        </w:numPr>
        <w:spacing w:line="276" w:lineRule="auto"/>
        <w:ind/>
        <w:jc w:val="both"/>
        <w:rPr>
          <w:b w:val="0"/>
          <w:sz w:val="28"/>
          <w:highlight w:val="white"/>
        </w:rPr>
      </w:pPr>
      <w:r>
        <w:rPr>
          <w:rStyle w:val="Style_2_ch"/>
          <w:b w:val="0"/>
          <w:sz w:val="28"/>
          <w:highlight w:val="white"/>
        </w:rPr>
        <w:t>Нормативных документов, регламентирующих лицензионный контроль</w:t>
      </w:r>
      <w:r>
        <w:rPr>
          <w:b w:val="0"/>
          <w:sz w:val="28"/>
          <w:highlight w:val="white"/>
        </w:rPr>
        <w:t>;</w:t>
      </w:r>
    </w:p>
    <w:p w14:paraId="0F000000">
      <w:pPr>
        <w:numPr>
          <w:ilvl w:val="0"/>
          <w:numId w:val="1"/>
        </w:numPr>
        <w:spacing w:line="276" w:lineRule="auto"/>
        <w:ind/>
        <w:jc w:val="both"/>
        <w:rPr>
          <w:b w:val="0"/>
          <w:sz w:val="28"/>
          <w:highlight w:val="white"/>
        </w:rPr>
      </w:pPr>
      <w:r>
        <w:rPr>
          <w:rStyle w:val="Style_2_ch"/>
          <w:b w:val="0"/>
          <w:sz w:val="28"/>
          <w:highlight w:val="white"/>
        </w:rPr>
        <w:t>Лицензионных требований, предъявляемых к соискателям лицензии и лицензиатам</w:t>
      </w:r>
      <w:r>
        <w:rPr>
          <w:b w:val="0"/>
          <w:sz w:val="28"/>
          <w:highlight w:val="white"/>
        </w:rPr>
        <w:t>;</w:t>
      </w:r>
    </w:p>
    <w:p w14:paraId="10000000">
      <w:pPr>
        <w:numPr>
          <w:ilvl w:val="0"/>
          <w:numId w:val="1"/>
        </w:numPr>
        <w:spacing w:line="276" w:lineRule="auto"/>
        <w:ind/>
        <w:jc w:val="both"/>
        <w:rPr>
          <w:b w:val="0"/>
          <w:sz w:val="28"/>
          <w:highlight w:val="white"/>
        </w:rPr>
      </w:pPr>
      <w:r>
        <w:rPr>
          <w:rStyle w:val="Style_2_ch"/>
          <w:b w:val="0"/>
          <w:sz w:val="28"/>
          <w:highlight w:val="white"/>
        </w:rPr>
        <w:t xml:space="preserve">Оснований, периодичности и </w:t>
      </w:r>
      <w:r>
        <w:rPr>
          <w:rStyle w:val="Style_2_ch"/>
          <w:b w:val="0"/>
          <w:sz w:val="28"/>
          <w:highlight w:val="white"/>
        </w:rPr>
        <w:t xml:space="preserve">сроков </w:t>
      </w:r>
      <w:r>
        <w:rPr>
          <w:rStyle w:val="Style_2_ch"/>
          <w:b w:val="0"/>
          <w:sz w:val="28"/>
          <w:highlight w:val="white"/>
        </w:rPr>
        <w:t>проведения плановых и внеплановых проверок</w:t>
      </w:r>
      <w:r>
        <w:rPr>
          <w:b w:val="0"/>
          <w:sz w:val="28"/>
          <w:highlight w:val="white"/>
        </w:rPr>
        <w:t xml:space="preserve">, а также грубых нарушений </w:t>
      </w:r>
      <w:r>
        <w:rPr>
          <w:b w:val="0"/>
          <w:sz w:val="28"/>
          <w:highlight w:val="white"/>
        </w:rPr>
        <w:t>Федерального законодательства при проведении проверок;</w:t>
      </w:r>
    </w:p>
    <w:p w14:paraId="11000000">
      <w:pPr>
        <w:numPr>
          <w:ilvl w:val="0"/>
          <w:numId w:val="1"/>
        </w:numPr>
        <w:spacing w:line="276" w:lineRule="auto"/>
        <w:ind/>
        <w:jc w:val="both"/>
        <w:rPr>
          <w:b w:val="0"/>
          <w:sz w:val="28"/>
          <w:highlight w:val="white"/>
        </w:rPr>
      </w:pPr>
      <w:r>
        <w:rPr>
          <w:rStyle w:val="Style_2_ch"/>
          <w:b w:val="0"/>
          <w:sz w:val="28"/>
          <w:highlight w:val="white"/>
        </w:rPr>
        <w:t>Организации и проведения мероприятий, направленных на профилактику нарушений обязательных требований.</w:t>
      </w:r>
    </w:p>
    <w:p w14:paraId="12000000">
      <w:pPr>
        <w:spacing w:line="276" w:lineRule="auto"/>
        <w:ind w:firstLine="708" w:left="0"/>
        <w:jc w:val="both"/>
        <w:rPr>
          <w:b w:val="0"/>
          <w:sz w:val="28"/>
        </w:rPr>
      </w:pPr>
      <w:r>
        <w:rPr>
          <w:rStyle w:val="Style_1_ch"/>
          <w:b w:val="0"/>
          <w:sz w:val="28"/>
        </w:rPr>
        <w:t>В</w:t>
      </w:r>
      <w:r>
        <w:rPr>
          <w:rStyle w:val="Style_1_ch"/>
          <w:b w:val="0"/>
          <w:sz w:val="28"/>
        </w:rPr>
        <w:t xml:space="preserve"> мероприятие </w:t>
      </w:r>
      <w:r>
        <w:rPr>
          <w:rStyle w:val="Style_1_ch"/>
          <w:b w:val="0"/>
          <w:sz w:val="28"/>
        </w:rPr>
        <w:t>приняли участи</w:t>
      </w:r>
      <w:r>
        <w:rPr>
          <w:rStyle w:val="Style_1_ch"/>
          <w:b w:val="0"/>
          <w:sz w:val="28"/>
        </w:rPr>
        <w:t>е</w:t>
      </w:r>
      <w:r>
        <w:rPr>
          <w:rStyle w:val="Style_1_ch"/>
          <w:b w:val="0"/>
          <w:sz w:val="28"/>
        </w:rPr>
        <w:t xml:space="preserve"> представители следующих организаций</w:t>
      </w:r>
      <w:r>
        <w:rPr>
          <w:rStyle w:val="Style_1_ch"/>
          <w:b w:val="0"/>
          <w:sz w:val="28"/>
        </w:rPr>
        <w:t>:</w:t>
      </w:r>
      <w:r>
        <w:rPr>
          <w:rStyle w:val="Style_1_ch"/>
          <w:b w:val="0"/>
          <w:sz w:val="28"/>
        </w:rPr>
        <w:t xml:space="preserve"> </w:t>
      </w:r>
    </w:p>
    <w:p w14:paraId="13000000">
      <w:pPr>
        <w:numPr>
          <w:numId w:val="2"/>
        </w:numPr>
        <w:spacing w:after="0" w:line="276" w:lineRule="auto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>ГГУП "СФ "Минерал"</w:t>
      </w:r>
    </w:p>
    <w:p w14:paraId="14000000">
      <w:pPr>
        <w:numPr>
          <w:numId w:val="2"/>
        </w:numPr>
        <w:spacing w:after="0" w:line="276" w:lineRule="auto"/>
        <w:ind w:firstLine="709" w:left="0"/>
        <w:jc w:val="both"/>
        <w:rPr>
          <w:b w:val="0"/>
          <w:sz w:val="28"/>
        </w:rPr>
      </w:pPr>
      <w:r>
        <w:rPr>
          <w:rStyle w:val="Style_1_ch"/>
          <w:b w:val="0"/>
          <w:sz w:val="28"/>
        </w:rPr>
        <w:t>ФГБУ «ГГИ»</w:t>
      </w:r>
    </w:p>
    <w:p w14:paraId="15000000">
      <w:pPr>
        <w:numPr>
          <w:numId w:val="2"/>
        </w:numPr>
        <w:spacing w:after="0" w:line="276" w:lineRule="auto"/>
        <w:ind w:firstLine="709" w:left="0"/>
        <w:jc w:val="both"/>
        <w:rPr>
          <w:b w:val="0"/>
          <w:sz w:val="28"/>
        </w:rPr>
      </w:pPr>
      <w:r>
        <w:rPr>
          <w:rStyle w:val="Style_1_ch"/>
          <w:b w:val="0"/>
          <w:sz w:val="28"/>
        </w:rPr>
        <w:t>ФГБУ «ГГО»</w:t>
      </w:r>
    </w:p>
    <w:p w14:paraId="16000000">
      <w:pPr>
        <w:numPr>
          <w:numId w:val="2"/>
        </w:numPr>
        <w:spacing w:after="0" w:line="276" w:lineRule="auto"/>
        <w:ind w:firstLine="709" w:left="0"/>
        <w:jc w:val="both"/>
        <w:rPr>
          <w:b w:val="0"/>
          <w:sz w:val="28"/>
        </w:rPr>
      </w:pPr>
      <w:r>
        <w:rPr>
          <w:rStyle w:val="Style_1_ch"/>
          <w:b w:val="0"/>
          <w:sz w:val="28"/>
        </w:rPr>
        <w:t>ФГУ «</w:t>
      </w:r>
      <w:r>
        <w:rPr>
          <w:rStyle w:val="Style_1_ch"/>
          <w:b w:val="0"/>
          <w:sz w:val="28"/>
        </w:rPr>
        <w:t>Балтводхоз</w:t>
      </w:r>
      <w:r>
        <w:rPr>
          <w:rStyle w:val="Style_1_ch"/>
          <w:b w:val="0"/>
          <w:sz w:val="28"/>
        </w:rPr>
        <w:t>»</w:t>
      </w:r>
    </w:p>
    <w:p w14:paraId="17000000">
      <w:pPr>
        <w:numPr>
          <w:numId w:val="2"/>
        </w:numPr>
        <w:spacing w:after="0" w:line="276" w:lineRule="auto"/>
        <w:ind w:firstLine="709" w:left="0"/>
        <w:jc w:val="both"/>
        <w:rPr>
          <w:b w:val="0"/>
          <w:sz w:val="28"/>
        </w:rPr>
      </w:pPr>
      <w:r>
        <w:rPr>
          <w:rStyle w:val="Style_1_ch"/>
          <w:b w:val="0"/>
          <w:sz w:val="28"/>
        </w:rPr>
        <w:t>ФГБУ «Северо-Западное УГМС»</w:t>
      </w:r>
    </w:p>
    <w:p w14:paraId="18000000">
      <w:pPr>
        <w:spacing w:after="0" w:line="276" w:lineRule="auto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А также представители </w:t>
      </w:r>
      <w:r>
        <w:rPr>
          <w:rStyle w:val="Style_1_ch"/>
          <w:b w:val="0"/>
          <w:sz w:val="28"/>
        </w:rPr>
        <w:t>Комитета по природопользованию, охране окружающей среды и обеспечению экологической безопасности.</w:t>
      </w:r>
    </w:p>
    <w:p w14:paraId="19000000">
      <w:pPr>
        <w:pStyle w:val="Style_2"/>
        <w:spacing w:after="300" w:before="150" w:line="276" w:lineRule="auto"/>
        <w:ind w:firstLine="709" w:left="0" w:right="150"/>
        <w:jc w:val="both"/>
        <w:rPr>
          <w:b w:val="0"/>
          <w:sz w:val="28"/>
          <w:highlight w:val="white"/>
        </w:rPr>
      </w:pPr>
      <w:r>
        <w:rPr>
          <w:b w:val="0"/>
          <w:sz w:val="28"/>
          <w:highlight w:val="white"/>
        </w:rPr>
        <w:t>Слушание</w:t>
      </w:r>
      <w:r>
        <w:rPr>
          <w:b w:val="0"/>
          <w:sz w:val="28"/>
          <w:highlight w:val="white"/>
        </w:rPr>
        <w:t xml:space="preserve"> было организовано </w:t>
      </w:r>
      <w:r>
        <w:rPr>
          <w:b w:val="0"/>
          <w:sz w:val="28"/>
          <w:highlight w:val="white"/>
        </w:rPr>
        <w:t>с целью</w:t>
      </w:r>
      <w:r>
        <w:rPr>
          <w:b w:val="0"/>
          <w:sz w:val="28"/>
          <w:highlight w:val="white"/>
        </w:rPr>
        <w:t xml:space="preserve"> реализации </w:t>
      </w:r>
      <w:r>
        <w:rPr>
          <w:b w:val="0"/>
          <w:sz w:val="28"/>
          <w:highlight w:val="white"/>
        </w:rPr>
        <w:t>мероприятий</w:t>
      </w:r>
      <w:r>
        <w:rPr>
          <w:b w:val="0"/>
          <w:sz w:val="28"/>
          <w:highlight w:val="white"/>
        </w:rPr>
        <w:t>, направленных на реформирование контрольно-надзорной деятельности</w:t>
      </w:r>
      <w:r>
        <w:rPr>
          <w:b w:val="0"/>
          <w:sz w:val="28"/>
          <w:highlight w:val="white"/>
        </w:rPr>
        <w:t xml:space="preserve"> Департамента</w:t>
      </w:r>
      <w:r>
        <w:rPr>
          <w:b w:val="0"/>
          <w:sz w:val="28"/>
          <w:highlight w:val="white"/>
        </w:rPr>
        <w:t>.</w:t>
      </w:r>
      <w:r>
        <w:rPr>
          <w:b w:val="0"/>
          <w:sz w:val="28"/>
          <w:highlight w:val="white"/>
        </w:rPr>
        <w:t xml:space="preserve"> </w:t>
      </w:r>
      <w:r>
        <w:rPr>
          <w:b w:val="0"/>
          <w:sz w:val="28"/>
          <w:highlight w:val="white"/>
        </w:rPr>
        <w:t xml:space="preserve">                       </w:t>
      </w:r>
    </w:p>
    <w:p w14:paraId="1A000000">
      <w:pPr>
        <w:pStyle w:val="Style_2"/>
        <w:spacing w:after="300" w:before="150" w:line="276" w:lineRule="auto"/>
        <w:ind w:firstLine="709" w:left="0" w:right="150"/>
        <w:jc w:val="both"/>
        <w:rPr>
          <w:b w:val="0"/>
          <w:sz w:val="28"/>
          <w:highlight w:val="white"/>
        </w:rPr>
      </w:pPr>
      <w:r>
        <w:rPr>
          <w:rStyle w:val="Style_2_ch"/>
          <w:b w:val="0"/>
          <w:color w:val="000000"/>
          <w:sz w:val="28"/>
          <w:highlight w:val="white"/>
        </w:rPr>
        <w:t>Кроме того, в рамках данного</w:t>
      </w:r>
      <w:r>
        <w:rPr>
          <w:rStyle w:val="Style_2_ch"/>
          <w:b w:val="0"/>
          <w:color w:val="000000"/>
          <w:sz w:val="28"/>
          <w:highlight w:val="white"/>
        </w:rPr>
        <w:t xml:space="preserve"> </w:t>
      </w:r>
      <w:r>
        <w:rPr>
          <w:rStyle w:val="Style_2_ch"/>
          <w:b w:val="0"/>
          <w:color w:val="000000"/>
          <w:sz w:val="28"/>
          <w:highlight w:val="white"/>
        </w:rPr>
        <w:t>публичного мероприятия</w:t>
      </w:r>
      <w:r>
        <w:rPr>
          <w:rStyle w:val="Style_2_ch"/>
          <w:b w:val="0"/>
          <w:color w:val="000000"/>
          <w:sz w:val="28"/>
          <w:highlight w:val="white"/>
        </w:rPr>
        <w:t xml:space="preserve"> присутствующие были проинформиро</w:t>
      </w:r>
      <w:r>
        <w:rPr>
          <w:rStyle w:val="Style_2_ch"/>
          <w:b w:val="0"/>
          <w:color w:val="000000"/>
          <w:sz w:val="28"/>
          <w:highlight w:val="white"/>
        </w:rPr>
        <w:t>ваны о результатах</w:t>
      </w:r>
      <w:r>
        <w:rPr>
          <w:rStyle w:val="Style_2_ch"/>
          <w:b w:val="0"/>
          <w:color w:val="000000"/>
          <w:sz w:val="28"/>
          <w:highlight w:val="white"/>
        </w:rPr>
        <w:t xml:space="preserve"> к</w:t>
      </w:r>
      <w:r>
        <w:rPr>
          <w:rStyle w:val="Style_2_ch"/>
          <w:b w:val="0"/>
          <w:color w:val="000000"/>
          <w:sz w:val="28"/>
          <w:highlight w:val="white"/>
        </w:rPr>
        <w:t>онтрольно-надзорн</w:t>
      </w:r>
      <w:r>
        <w:rPr>
          <w:rStyle w:val="Style_2_ch"/>
          <w:b w:val="0"/>
          <w:color w:val="000000"/>
          <w:sz w:val="28"/>
          <w:highlight w:val="white"/>
        </w:rPr>
        <w:t>ой</w:t>
      </w:r>
      <w:r>
        <w:rPr>
          <w:rStyle w:val="Style_2_ch"/>
          <w:b w:val="0"/>
          <w:color w:val="000000"/>
          <w:sz w:val="28"/>
          <w:highlight w:val="white"/>
        </w:rPr>
        <w:t xml:space="preserve"> </w:t>
      </w:r>
      <w:r>
        <w:rPr>
          <w:rStyle w:val="Style_2_ch"/>
          <w:b w:val="0"/>
          <w:color w:val="000000"/>
          <w:sz w:val="28"/>
          <w:highlight w:val="white"/>
        </w:rPr>
        <w:t>деятельности Департамента</w:t>
      </w:r>
      <w:r>
        <w:rPr>
          <w:rStyle w:val="Style_2_ch"/>
          <w:b w:val="0"/>
          <w:color w:val="000000"/>
          <w:sz w:val="28"/>
          <w:highlight w:val="white"/>
        </w:rPr>
        <w:t>.</w:t>
      </w:r>
    </w:p>
    <w:p w14:paraId="1B000000">
      <w:pPr>
        <w:spacing w:line="360" w:lineRule="auto"/>
        <w:ind w:firstLine="708" w:left="0"/>
        <w:jc w:val="both"/>
        <w:rPr>
          <w:sz w:val="28"/>
          <w:shd w:fill="F6F6F6" w:val="clear"/>
        </w:rPr>
      </w:pPr>
    </w:p>
    <w:sectPr>
      <w:pgSz w:h="16838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2" w:left="1849"/>
      </w:pPr>
    </w:lvl>
    <w:lvl w:ilvl="2">
      <w:start w:val="1"/>
      <w:numFmt w:val="decimal"/>
      <w:lvlText w:val="%1.%2.%3."/>
      <w:pPr>
        <w:ind w:hanging="504" w:left="1224"/>
      </w:pPr>
    </w:lvl>
    <w:lvl w:ilvl="3">
      <w:start w:val="1"/>
      <w:numFmt w:val="decimal"/>
      <w:lvlText w:val="%1.%2.%3.%4."/>
      <w:pPr>
        <w:ind w:hanging="648" w:left="1728"/>
      </w:pPr>
    </w:lvl>
    <w:lvl w:ilvl="4">
      <w:start w:val="1"/>
      <w:numFmt w:val="decimal"/>
      <w:lvlText w:val="%1.%2.%3.%4.%5."/>
      <w:pPr>
        <w:ind w:hanging="792" w:left="2232"/>
      </w:pPr>
    </w:lvl>
    <w:lvl w:ilvl="5">
      <w:start w:val="1"/>
      <w:numFmt w:val="decimal"/>
      <w:lvlText w:val="%1.%2.%3.%4.%5.%6."/>
      <w:pPr>
        <w:ind w:hanging="936" w:left="2736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4" w:left="3744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Balloon Text"/>
    <w:basedOn w:val="Style_1"/>
    <w:link w:val="Style_5_ch"/>
    <w:rPr>
      <w:rFonts w:ascii="Segoe UI" w:hAnsi="Segoe UI"/>
      <w:sz w:val="18"/>
    </w:rPr>
  </w:style>
  <w:style w:styleId="Style_5_ch" w:type="character">
    <w:name w:val="Balloon Text"/>
    <w:basedOn w:val="Style_1_ch"/>
    <w:link w:val="Style_5"/>
    <w:rPr>
      <w:rFonts w:ascii="Segoe UI" w:hAnsi="Segoe UI"/>
      <w:sz w:val="18"/>
    </w:rPr>
  </w:style>
  <w:style w:styleId="Style_6" w:type="paragraph">
    <w:name w:val="caaieiaie 2"/>
    <w:basedOn w:val="Style_7"/>
    <w:next w:val="Style_7"/>
    <w:link w:val="Style_6_ch"/>
    <w:pPr>
      <w:keepNext w:val="1"/>
      <w:ind/>
    </w:pPr>
    <w:rPr>
      <w:b w:val="1"/>
      <w:sz w:val="24"/>
    </w:rPr>
  </w:style>
  <w:style w:styleId="Style_6_ch" w:type="character">
    <w:name w:val="caaieiaie 2"/>
    <w:basedOn w:val="Style_7_ch"/>
    <w:link w:val="Style_6"/>
    <w:rPr>
      <w:b w:val="1"/>
      <w:sz w:val="24"/>
    </w:rPr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заголовок 6"/>
    <w:basedOn w:val="Style_1"/>
    <w:next w:val="Style_1"/>
    <w:link w:val="Style_9_ch"/>
    <w:pPr>
      <w:keepNext w:val="1"/>
      <w:widowControl w:val="1"/>
      <w:spacing w:line="360" w:lineRule="auto"/>
      <w:ind/>
      <w:jc w:val="center"/>
    </w:pPr>
    <w:rPr>
      <w:b w:val="1"/>
      <w:sz w:val="22"/>
    </w:rPr>
  </w:style>
  <w:style w:styleId="Style_9_ch" w:type="character">
    <w:name w:val="заголовок 6"/>
    <w:basedOn w:val="Style_1_ch"/>
    <w:link w:val="Style_9"/>
    <w:rPr>
      <w:b w:val="1"/>
      <w:sz w:val="22"/>
    </w:rPr>
  </w:style>
  <w:style w:styleId="Style_10" w:type="paragraph">
    <w:name w:val="toc 7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Основной текст 31"/>
    <w:basedOn w:val="Style_1"/>
    <w:link w:val="Style_11_ch"/>
    <w:pPr>
      <w:widowControl w:val="1"/>
      <w:ind/>
      <w:jc w:val="center"/>
    </w:pPr>
    <w:rPr>
      <w:b w:val="1"/>
    </w:rPr>
  </w:style>
  <w:style w:styleId="Style_11_ch" w:type="character">
    <w:name w:val="Основной текст 31"/>
    <w:basedOn w:val="Style_1_ch"/>
    <w:link w:val="Style_11"/>
    <w:rPr>
      <w:b w:val="1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3"/>
    <w:basedOn w:val="Style_1"/>
    <w:next w:val="Style_1"/>
    <w:link w:val="Style_13_ch"/>
    <w:uiPriority w:val="9"/>
    <w:qFormat/>
    <w:pPr>
      <w:keepNext w:val="1"/>
      <w:keepLines w:val="1"/>
      <w:spacing w:before="40"/>
      <w:ind/>
      <w:outlineLvl w:val="2"/>
    </w:pPr>
    <w:rPr>
      <w:rFonts w:asciiTheme="majorAscii"/>
      <w:color w:themeColor="accent1" w:themeShade="7F" w:val="000000"/>
    </w:rPr>
  </w:style>
  <w:style w:styleId="Style_13_ch" w:type="character">
    <w:name w:val="heading 3"/>
    <w:basedOn w:val="Style_1_ch"/>
    <w:link w:val="Style_13"/>
    <w:rPr>
      <w:rFonts w:asciiTheme="majorAscii"/>
      <w:color w:themeColor="accent1" w:themeShade="7F" w:val="000000"/>
    </w:rPr>
  </w:style>
  <w:style w:styleId="Style_14" w:type="paragraph">
    <w:name w:val="toc 3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List Paragraph"/>
    <w:basedOn w:val="Style_1"/>
    <w:link w:val="Style_15_ch"/>
    <w:pPr>
      <w:ind w:firstLine="0" w:left="720"/>
      <w:contextualSpacing w:val="1"/>
    </w:pPr>
  </w:style>
  <w:style w:styleId="Style_15_ch" w:type="character">
    <w:name w:val="List Paragraph"/>
    <w:basedOn w:val="Style_1_ch"/>
    <w:link w:val="Style_15"/>
  </w:style>
  <w:style w:styleId="Style_16" w:type="paragraph">
    <w:name w:val="Содержимое таблицы"/>
    <w:basedOn w:val="Style_1"/>
    <w:link w:val="Style_16_ch"/>
  </w:style>
  <w:style w:styleId="Style_16_ch" w:type="character">
    <w:name w:val="Содержимое таблицы"/>
    <w:basedOn w:val="Style_1_ch"/>
    <w:link w:val="Style_16"/>
  </w:style>
  <w:style w:styleId="Style_17" w:type="paragraph">
    <w:name w:val="heading 5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1"/>
    <w:link w:val="Style_2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2_ch" w:type="character">
    <w:name w:val="heading 1"/>
    <w:basedOn w:val="Style_1_ch"/>
    <w:link w:val="Style_2"/>
    <w:rPr>
      <w:b w:val="1"/>
      <w:sz w:val="4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rPr>
      <w:rFonts w:ascii="XO Thames" w:hAnsi="XO Thames"/>
      <w:color w:val="757575"/>
      <w:sz w:val="20"/>
    </w:rPr>
  </w:style>
  <w:style w:styleId="Style_19_ch" w:type="character">
    <w:name w:val="Footnote"/>
    <w:link w:val="Style_19"/>
    <w:rPr>
      <w:rFonts w:ascii="XO Thames" w:hAnsi="XO Thames"/>
      <w:color w:val="757575"/>
      <w:sz w:val="20"/>
    </w:rPr>
  </w:style>
  <w:style w:styleId="Style_7" w:type="paragraph">
    <w:name w:val="Iau?iue"/>
    <w:link w:val="Style_7_ch"/>
    <w:pPr>
      <w:spacing w:after="0" w:line="240" w:lineRule="auto"/>
      <w:ind/>
    </w:pPr>
    <w:rPr>
      <w:rFonts w:ascii="Times New Roman" w:hAnsi="Times New Roman"/>
      <w:sz w:val="20"/>
    </w:rPr>
  </w:style>
  <w:style w:styleId="Style_7_ch" w:type="character">
    <w:name w:val="Iau?iue"/>
    <w:link w:val="Style_7"/>
    <w:rPr>
      <w:rFonts w:ascii="Times New Roman" w:hAnsi="Times New Roman"/>
      <w:sz w:val="20"/>
    </w:rPr>
  </w:style>
  <w:style w:styleId="Style_20" w:type="paragraph">
    <w:name w:val="toc 1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toc 5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MyOffice-CoreFramework-Windows/13.0-597.96.2935.234.1@RELEASE-DESKTOP-MINT-ST-2</Application>
</Properties>
</file>